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3" w:rsidRDefault="00D61183" w:rsidP="00D61183">
      <w:pPr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2</w:t>
      </w:r>
    </w:p>
    <w:p w:rsidR="00D61183" w:rsidRPr="00D61183" w:rsidRDefault="00D61183" w:rsidP="00D61183">
      <w:pPr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uchwały Nr ....................</w:t>
      </w:r>
    </w:p>
    <w:p w:rsidR="00D61183" w:rsidRPr="00D61183" w:rsidRDefault="00D61183" w:rsidP="00D61183">
      <w:pPr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Gminy Pilchowice</w:t>
      </w:r>
    </w:p>
    <w:tbl>
      <w:tblPr>
        <w:tblW w:w="0" w:type="auto"/>
        <w:tblInd w:w="5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20"/>
      </w:tblGrid>
      <w:tr w:rsidR="00D61183" w:rsidTr="00BC6652">
        <w:trPr>
          <w:trHeight w:val="286"/>
        </w:trPr>
        <w:tc>
          <w:tcPr>
            <w:tcW w:w="1620" w:type="dxa"/>
            <w:shd w:val="clear" w:color="auto" w:fill="auto"/>
            <w:vAlign w:val="bottom"/>
          </w:tcPr>
          <w:p w:rsidR="00D61183" w:rsidRDefault="00D61183" w:rsidP="00D61183">
            <w:pPr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z dnia....................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D61183" w:rsidRDefault="00D61183" w:rsidP="00D61183">
            <w:pPr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2020 r.</w:t>
            </w:r>
          </w:p>
        </w:tc>
      </w:tr>
    </w:tbl>
    <w:p w:rsidR="00D61183" w:rsidRDefault="00D61183" w:rsidP="00D61183">
      <w:pPr>
        <w:spacing w:line="209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0" w:lineRule="atLeast"/>
        <w:ind w:left="567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przedsiębiorcy</w:t>
      </w:r>
    </w:p>
    <w:p w:rsidR="00D61183" w:rsidRDefault="00D61183" w:rsidP="00D61183">
      <w:pPr>
        <w:spacing w:line="0" w:lineRule="atLeast"/>
        <w:ind w:left="4200"/>
        <w:rPr>
          <w:rFonts w:ascii="Times New Roman" w:eastAsia="Times New Roman" w:hAnsi="Times New Roman"/>
          <w:b/>
          <w:sz w:val="22"/>
        </w:rPr>
      </w:pPr>
    </w:p>
    <w:p w:rsidR="00D61183" w:rsidRDefault="00D61183" w:rsidP="00D61183">
      <w:pPr>
        <w:spacing w:line="124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 (firma) podmiotu lub imię i nazwisko</w:t>
      </w:r>
    </w:p>
    <w:p w:rsidR="00D61183" w:rsidRDefault="00D61183" w:rsidP="00D61183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61183" w:rsidRDefault="00D61183" w:rsidP="00D61183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</w:t>
      </w:r>
    </w:p>
    <w:p w:rsidR="00D61183" w:rsidRDefault="00D61183" w:rsidP="00D61183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61183" w:rsidRDefault="00D61183" w:rsidP="00D61183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D61183" w:rsidRDefault="0066615E" w:rsidP="00D61183">
      <w:pPr>
        <w:numPr>
          <w:ilvl w:val="0"/>
          <w:numId w:val="1"/>
        </w:numPr>
        <w:tabs>
          <w:tab w:val="left" w:pos="926"/>
        </w:tabs>
        <w:spacing w:line="271" w:lineRule="auto"/>
        <w:ind w:left="860" w:right="2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Powierzchnia n</w:t>
      </w:r>
      <w:r w:rsidR="00BE55C5">
        <w:rPr>
          <w:rFonts w:ascii="Times New Roman" w:eastAsia="Times New Roman" w:hAnsi="Times New Roman"/>
          <w:sz w:val="22"/>
        </w:rPr>
        <w:t>ieruchomości</w:t>
      </w:r>
      <w:r w:rsidR="00D61183">
        <w:rPr>
          <w:rFonts w:ascii="Times New Roman" w:eastAsia="Times New Roman" w:hAnsi="Times New Roman"/>
          <w:sz w:val="22"/>
        </w:rPr>
        <w:t>, na której prowadzona jest działalność objęta zakazem jej prowadzenia wynosi dla:</w:t>
      </w:r>
    </w:p>
    <w:p w:rsidR="00D61183" w:rsidRDefault="00D61183" w:rsidP="00D61183">
      <w:pPr>
        <w:spacing w:line="55" w:lineRule="exact"/>
        <w:rPr>
          <w:rFonts w:ascii="Times New Roman" w:eastAsia="Times New Roman" w:hAnsi="Times New Roman"/>
        </w:rPr>
      </w:pPr>
    </w:p>
    <w:tbl>
      <w:tblPr>
        <w:tblW w:w="9298" w:type="dxa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2"/>
        <w:gridCol w:w="2606"/>
      </w:tblGrid>
      <w:tr w:rsidR="00D61183" w:rsidTr="00D61183">
        <w:trPr>
          <w:trHeight w:val="326"/>
        </w:trPr>
        <w:tc>
          <w:tcPr>
            <w:tcW w:w="6692" w:type="dxa"/>
            <w:shd w:val="clear" w:color="auto" w:fill="auto"/>
            <w:vAlign w:val="bottom"/>
          </w:tcPr>
          <w:p w:rsidR="00D61183" w:rsidRDefault="00D61183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Gruntów (powierzchnia) ............................................................................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D61183" w:rsidRDefault="00D61183" w:rsidP="00BC6652">
            <w:pPr>
              <w:spacing w:line="0" w:lineRule="atLeast"/>
              <w:ind w:left="20"/>
              <w:rPr>
                <w:rFonts w:ascii="Times New Roman" w:eastAsia="Times New Roman" w:hAnsi="Times New Roman"/>
                <w:w w:val="92"/>
                <w:sz w:val="22"/>
              </w:rPr>
            </w:pPr>
            <w:r>
              <w:rPr>
                <w:rFonts w:ascii="Times New Roman" w:eastAsia="Times New Roman" w:hAnsi="Times New Roman"/>
                <w:w w:val="92"/>
                <w:sz w:val="22"/>
              </w:rPr>
              <w:t>m2</w:t>
            </w:r>
          </w:p>
        </w:tc>
      </w:tr>
      <w:tr w:rsidR="00D61183" w:rsidTr="00D61183">
        <w:trPr>
          <w:trHeight w:val="426"/>
        </w:trPr>
        <w:tc>
          <w:tcPr>
            <w:tcW w:w="6692" w:type="dxa"/>
            <w:shd w:val="clear" w:color="auto" w:fill="auto"/>
            <w:vAlign w:val="bottom"/>
          </w:tcPr>
          <w:p w:rsidR="00D61183" w:rsidRDefault="00D61183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Budynków (powierzchnia)........................................................................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D61183" w:rsidRDefault="00D61183" w:rsidP="00BC6652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m2</w:t>
            </w:r>
          </w:p>
        </w:tc>
      </w:tr>
      <w:tr w:rsidR="00D61183" w:rsidTr="00D61183">
        <w:trPr>
          <w:trHeight w:val="426"/>
        </w:trPr>
        <w:tc>
          <w:tcPr>
            <w:tcW w:w="6692" w:type="dxa"/>
            <w:shd w:val="clear" w:color="auto" w:fill="auto"/>
            <w:vAlign w:val="bottom"/>
          </w:tcPr>
          <w:p w:rsidR="00D61183" w:rsidRDefault="00D61183" w:rsidP="00BC6652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Budowli (wartość)......................................................................................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D61183" w:rsidRDefault="00D61183" w:rsidP="00BC6652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zł</w:t>
            </w:r>
          </w:p>
        </w:tc>
      </w:tr>
    </w:tbl>
    <w:p w:rsidR="00D61183" w:rsidRDefault="00D61183" w:rsidP="00D61183">
      <w:pPr>
        <w:spacing w:line="87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87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87" w:lineRule="exact"/>
        <w:rPr>
          <w:rFonts w:ascii="Times New Roman" w:eastAsia="Times New Roman" w:hAnsi="Times New Roman"/>
        </w:rPr>
      </w:pPr>
    </w:p>
    <w:p w:rsidR="00D61183" w:rsidRPr="003F4F03" w:rsidRDefault="00D61183" w:rsidP="003F4F03">
      <w:pPr>
        <w:numPr>
          <w:ilvl w:val="0"/>
          <w:numId w:val="2"/>
        </w:numPr>
        <w:tabs>
          <w:tab w:val="left" w:pos="920"/>
        </w:tabs>
        <w:spacing w:line="271" w:lineRule="auto"/>
        <w:ind w:left="860" w:right="2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przedsiębiorcą, którego dotyczy zakaz prowadzenia działalności związany                      ze skutkami epidemii COVID-19 wyn</w:t>
      </w:r>
      <w:r w:rsidR="003F4F03">
        <w:rPr>
          <w:rFonts w:ascii="Times New Roman" w:eastAsia="Times New Roman" w:hAnsi="Times New Roman"/>
          <w:sz w:val="22"/>
        </w:rPr>
        <w:t>ikający z przepisów szczególnych i o</w:t>
      </w:r>
      <w:r w:rsidR="004B44EC" w:rsidRPr="003F4F03">
        <w:rPr>
          <w:rFonts w:ascii="Times New Roman" w:eastAsia="Times New Roman" w:hAnsi="Times New Roman"/>
          <w:sz w:val="22"/>
        </w:rPr>
        <w:t>dnotowałem spadek obrotów gospodarczych z powodu COVID-19:</w:t>
      </w:r>
    </w:p>
    <w:p w:rsidR="004B44EC" w:rsidRPr="00B5742E" w:rsidRDefault="004B44EC" w:rsidP="004B44EC">
      <w:pPr>
        <w:numPr>
          <w:ilvl w:val="1"/>
          <w:numId w:val="6"/>
        </w:numPr>
        <w:tabs>
          <w:tab w:val="left" w:pos="995"/>
        </w:tabs>
        <w:spacing w:line="247" w:lineRule="auto"/>
        <w:ind w:left="520" w:right="20" w:firstLine="4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nie mniej niż o 15%, obliczony jako stosunek łącznych obrotów w ciągu dowolnie wskazanych 2 kolejnych miesięcy kalendarzowych, przypadających w okresie po dniu                   1 stycznia 2020 r. do dnia poprzedzającego dzień złożenia zgłoszenia stanowiącego załącznik   nr 1 do uchwały, w porównaniu do </w:t>
      </w:r>
      <w:r w:rsidRPr="00B5742E">
        <w:rPr>
          <w:rFonts w:ascii="Times New Roman" w:eastAsia="Times New Roman" w:hAnsi="Times New Roman"/>
          <w:sz w:val="22"/>
        </w:rPr>
        <w:t>łącznych obrotów z analogicznych 2 kolejnych miesięcy kalendarzowych roku poprzedniego; za miesiąc uważa się także 30 kolejno po sobie następujących dni kalendarzowych, w przypadku gdy dwumiesięczny okres porównawczy rozpoczyna się w trakcie miesiąca kalendarzowego, to jest w dniu innym niż pierwszy dzień danego miesiąca kalendarzowego</w:t>
      </w:r>
    </w:p>
    <w:p w:rsidR="004B44EC" w:rsidRDefault="004B44EC" w:rsidP="004B44EC">
      <w:pPr>
        <w:spacing w:line="88" w:lineRule="exact"/>
        <w:rPr>
          <w:rFonts w:ascii="Times New Roman" w:eastAsia="Times New Roman" w:hAnsi="Times New Roman"/>
        </w:rPr>
      </w:pPr>
    </w:p>
    <w:p w:rsidR="004B44EC" w:rsidRPr="004B44EC" w:rsidRDefault="004B44EC" w:rsidP="004B44EC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</w:t>
      </w:r>
    </w:p>
    <w:p w:rsidR="004B44EC" w:rsidRDefault="004B44EC" w:rsidP="004B44EC">
      <w:pPr>
        <w:tabs>
          <w:tab w:val="left" w:pos="993"/>
        </w:tabs>
        <w:spacing w:line="0" w:lineRule="atLeast"/>
        <w:ind w:left="567"/>
        <w:rPr>
          <w:rFonts w:ascii="Times New Roman" w:eastAsia="Times New Roman" w:hAnsi="Times New Roman"/>
          <w:sz w:val="22"/>
        </w:rPr>
      </w:pPr>
      <w:r w:rsidRPr="004B44EC">
        <w:rPr>
          <w:rFonts w:ascii="Times New Roman" w:eastAsia="Times New Roman" w:hAnsi="Times New Roman"/>
          <w:sz w:val="22"/>
        </w:rPr>
        <w:t>□</w:t>
      </w:r>
      <w:r w:rsidRPr="004B44EC">
        <w:rPr>
          <w:rFonts w:ascii="Times New Roman" w:eastAsia="Times New Roman" w:hAnsi="Times New Roman"/>
          <w:sz w:val="22"/>
        </w:rPr>
        <w:tab/>
        <w:t>nie mniej niż 25% obliczony jako stosunek obrotów z dowolnie wskazanego miesiąca kalendarzowego, przypadającego po dniu 1 stycznia 2020 r. do dnia poprzedzającego dzień złożenia zgłoszenia stanowiącego załącznik nr 1 do uchwały, w porównaniu do obrotów              z miesiąca poprzedniego; za miesiąc uważa się także 30 kolejno po sobie następujących dni kalendarzowych, w przypadku gdy okres porównawczy rozpoczyna się w trakcie miesiąca kalendarzowego, to jest w dniu innym niż pierwszy dzień danego miesiąca kalendarzowego.</w:t>
      </w:r>
    </w:p>
    <w:p w:rsidR="004B44EC" w:rsidRDefault="004B44EC" w:rsidP="004B44EC">
      <w:pPr>
        <w:tabs>
          <w:tab w:val="left" w:pos="993"/>
        </w:tabs>
        <w:spacing w:line="0" w:lineRule="atLeast"/>
        <w:ind w:left="567"/>
        <w:rPr>
          <w:rFonts w:ascii="Times New Roman" w:eastAsia="Times New Roman" w:hAnsi="Times New Roman"/>
          <w:sz w:val="22"/>
        </w:rPr>
      </w:pPr>
    </w:p>
    <w:p w:rsidR="00D61183" w:rsidRDefault="00D61183" w:rsidP="00D61183">
      <w:pPr>
        <w:spacing w:line="51" w:lineRule="exact"/>
        <w:rPr>
          <w:rFonts w:ascii="Times New Roman" w:eastAsia="Times New Roman" w:hAnsi="Times New Roman"/>
        </w:rPr>
      </w:pPr>
    </w:p>
    <w:p w:rsidR="00D61183" w:rsidRPr="00AD08BC" w:rsidRDefault="00D61183" w:rsidP="00791B2A">
      <w:pPr>
        <w:numPr>
          <w:ilvl w:val="0"/>
          <w:numId w:val="7"/>
        </w:numPr>
        <w:tabs>
          <w:tab w:val="left" w:pos="926"/>
        </w:tabs>
        <w:spacing w:line="0" w:lineRule="atLeast"/>
        <w:ind w:left="567"/>
        <w:rPr>
          <w:rFonts w:ascii="Times New Roman" w:eastAsia="Times New Roman" w:hAnsi="Times New Roman"/>
          <w:sz w:val="22"/>
        </w:rPr>
      </w:pPr>
      <w:r w:rsidRPr="00AD08BC">
        <w:rPr>
          <w:rFonts w:ascii="Times New Roman" w:eastAsia="Times New Roman" w:hAnsi="Times New Roman"/>
          <w:sz w:val="22"/>
        </w:rPr>
        <w:t>Pomoc w formie dotacji bezpośrednich, zaliczek zwrotnych, korzyści podatkowych lub</w:t>
      </w:r>
      <w:r>
        <w:rPr>
          <w:rFonts w:ascii="Times New Roman" w:eastAsia="Times New Roman" w:hAnsi="Times New Roman"/>
          <w:sz w:val="22"/>
        </w:rPr>
        <w:t xml:space="preserve">       </w:t>
      </w:r>
      <w:r w:rsidRPr="00AD08BC">
        <w:rPr>
          <w:rFonts w:ascii="Times New Roman" w:eastAsia="Times New Roman" w:hAnsi="Times New Roman"/>
          <w:sz w:val="22"/>
        </w:rPr>
        <w:t xml:space="preserve"> w zakresie płatności otrzymana przez przedsiębiorstwo w oparciu o Komunikat Komisji UE z dnia 20 marca 2020r.*</w:t>
      </w:r>
    </w:p>
    <w:p w:rsidR="00D61183" w:rsidRDefault="00D61183" w:rsidP="00D61183">
      <w:pPr>
        <w:spacing w:line="55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0" w:lineRule="atLeast"/>
        <w:ind w:left="99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wyniosła: ...................................... euro na dzień dokonania zgłoszenia.</w:t>
      </w:r>
    </w:p>
    <w:p w:rsidR="00D61183" w:rsidRDefault="00D61183" w:rsidP="00D61183">
      <w:pPr>
        <w:spacing w:line="120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116" w:lineRule="exact"/>
        <w:ind w:left="993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275" w:lineRule="auto"/>
        <w:ind w:left="993" w:right="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Wartość pomocy należy podać w kwocie brutto, tj. przed odliczeniem podatków lub innych opłat. Kwota pomocy nie może przekroczyć łącznie 800.000,00 euro na przedsiębiorstwo.</w:t>
      </w:r>
    </w:p>
    <w:p w:rsidR="00D61183" w:rsidRDefault="00D61183" w:rsidP="00D61183">
      <w:pPr>
        <w:spacing w:line="275" w:lineRule="auto"/>
        <w:ind w:left="520" w:right="20" w:firstLine="227"/>
        <w:rPr>
          <w:rFonts w:ascii="Times New Roman" w:eastAsia="Times New Roman" w:hAnsi="Times New Roman"/>
          <w:i/>
          <w:sz w:val="22"/>
        </w:rPr>
      </w:pPr>
    </w:p>
    <w:p w:rsidR="00D61183" w:rsidRDefault="00D61183" w:rsidP="00D61183">
      <w:pPr>
        <w:spacing w:line="50" w:lineRule="exact"/>
        <w:rPr>
          <w:rFonts w:ascii="Times New Roman" w:eastAsia="Times New Roman" w:hAnsi="Times New Roman"/>
        </w:rPr>
      </w:pPr>
    </w:p>
    <w:p w:rsidR="00D61183" w:rsidRDefault="00D61183" w:rsidP="00791B2A">
      <w:pPr>
        <w:numPr>
          <w:ilvl w:val="0"/>
          <w:numId w:val="8"/>
        </w:numPr>
        <w:tabs>
          <w:tab w:val="left" w:pos="920"/>
        </w:tabs>
        <w:spacing w:line="0" w:lineRule="atLeast"/>
        <w:ind w:left="567"/>
        <w:rPr>
          <w:rFonts w:ascii="Times New Roman" w:eastAsia="Times New Roman" w:hAnsi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sz w:val="22"/>
        </w:rPr>
        <w:t>Przedsiębiorstwo:</w:t>
      </w:r>
    </w:p>
    <w:p w:rsidR="00D61183" w:rsidRDefault="00D61183" w:rsidP="00D61183">
      <w:pPr>
        <w:spacing w:line="116" w:lineRule="exact"/>
        <w:rPr>
          <w:rFonts w:ascii="Times New Roman" w:eastAsia="Times New Roman" w:hAnsi="Times New Roman"/>
          <w:sz w:val="22"/>
        </w:rPr>
      </w:pPr>
    </w:p>
    <w:p w:rsidR="00D61183" w:rsidRDefault="00D61183" w:rsidP="00D61183">
      <w:pPr>
        <w:numPr>
          <w:ilvl w:val="1"/>
          <w:numId w:val="4"/>
        </w:numPr>
        <w:tabs>
          <w:tab w:val="left" w:pos="994"/>
        </w:tabs>
        <w:spacing w:line="275" w:lineRule="auto"/>
        <w:ind w:left="993" w:right="20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 xml:space="preserve"> </w:t>
      </w:r>
      <w:r w:rsidRPr="00D61183">
        <w:rPr>
          <w:rFonts w:ascii="Times New Roman" w:eastAsia="Times New Roman" w:hAnsi="Times New Roman"/>
          <w:sz w:val="22"/>
          <w:u w:val="single"/>
        </w:rPr>
        <w:t>nie znajdowało</w:t>
      </w:r>
      <w:r>
        <w:rPr>
          <w:rFonts w:ascii="Times New Roman" w:eastAsia="Times New Roman" w:hAnsi="Times New Roman"/>
          <w:sz w:val="22"/>
        </w:rPr>
        <w:t xml:space="preserve"> się w trudnej sytuacji </w:t>
      </w:r>
      <w:r>
        <w:rPr>
          <w:rFonts w:ascii="Times New Roman" w:eastAsia="Times New Roman" w:hAnsi="Times New Roman"/>
          <w:i/>
          <w:sz w:val="22"/>
        </w:rPr>
        <w:t>(w rozumieniu ogólnego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sprawie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grupowych) </w:t>
      </w: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dniu 31 grudnia 2019r.</w:t>
      </w:r>
    </w:p>
    <w:p w:rsidR="00D61183" w:rsidRDefault="00D61183" w:rsidP="00D61183">
      <w:pPr>
        <w:tabs>
          <w:tab w:val="left" w:pos="994"/>
        </w:tabs>
        <w:spacing w:line="46" w:lineRule="exact"/>
        <w:ind w:hanging="142"/>
        <w:rPr>
          <w:rFonts w:ascii="Times New Roman" w:eastAsia="Times New Roman" w:hAnsi="Times New Roman"/>
          <w:sz w:val="22"/>
        </w:rPr>
      </w:pPr>
    </w:p>
    <w:p w:rsidR="00D61183" w:rsidRPr="00791B2A" w:rsidRDefault="00D61183" w:rsidP="00D61183">
      <w:pPr>
        <w:numPr>
          <w:ilvl w:val="1"/>
          <w:numId w:val="4"/>
        </w:numPr>
        <w:tabs>
          <w:tab w:val="left" w:pos="994"/>
          <w:tab w:val="left" w:pos="1025"/>
        </w:tabs>
        <w:spacing w:line="275" w:lineRule="auto"/>
        <w:ind w:left="993" w:right="20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  <w:u w:val="single"/>
        </w:rPr>
        <w:t xml:space="preserve"> </w:t>
      </w:r>
      <w:r w:rsidRPr="00D61183">
        <w:rPr>
          <w:rFonts w:ascii="Times New Roman" w:eastAsia="Times New Roman" w:hAnsi="Times New Roman"/>
          <w:sz w:val="22"/>
          <w:u w:val="single"/>
        </w:rPr>
        <w:t>znajdowało</w:t>
      </w:r>
      <w:r>
        <w:rPr>
          <w:rFonts w:ascii="Times New Roman" w:eastAsia="Times New Roman" w:hAnsi="Times New Roman"/>
          <w:sz w:val="22"/>
        </w:rPr>
        <w:t xml:space="preserve"> się w trudnej sytuacji </w:t>
      </w:r>
      <w:r>
        <w:rPr>
          <w:rFonts w:ascii="Times New Roman" w:eastAsia="Times New Roman" w:hAnsi="Times New Roman"/>
          <w:i/>
          <w:sz w:val="22"/>
        </w:rPr>
        <w:t>(w rozumieniu ogólnego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rozporządzenia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 sprawie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wyłączeń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grupowych) </w:t>
      </w:r>
      <w:r>
        <w:rPr>
          <w:rFonts w:ascii="Times New Roman" w:eastAsia="Times New Roman" w:hAnsi="Times New Roman"/>
          <w:sz w:val="22"/>
        </w:rPr>
        <w:t>**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w dniu 31 grudnia 2019r.</w:t>
      </w:r>
    </w:p>
    <w:p w:rsidR="00791B2A" w:rsidRDefault="00791B2A" w:rsidP="00791B2A">
      <w:pPr>
        <w:pStyle w:val="Akapitzlist"/>
        <w:rPr>
          <w:rFonts w:ascii="Times New Roman" w:eastAsia="Times New Roman" w:hAnsi="Times New Roman"/>
          <w:sz w:val="22"/>
        </w:rPr>
      </w:pPr>
    </w:p>
    <w:p w:rsidR="00791B2A" w:rsidRPr="009D3B22" w:rsidRDefault="00791B2A" w:rsidP="00791B2A">
      <w:pPr>
        <w:tabs>
          <w:tab w:val="left" w:pos="994"/>
          <w:tab w:val="left" w:pos="1025"/>
        </w:tabs>
        <w:spacing w:line="275" w:lineRule="auto"/>
        <w:ind w:left="993" w:right="20"/>
        <w:rPr>
          <w:rFonts w:ascii="Times New Roman" w:eastAsia="Times New Roman" w:hAnsi="Times New Roman"/>
          <w:sz w:val="22"/>
        </w:rPr>
      </w:pPr>
    </w:p>
    <w:p w:rsidR="00D61183" w:rsidRDefault="00D61183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lastRenderedPageBreak/>
        <w:t xml:space="preserve">Pomoc może zostać przyznana przedsiębiorstwom, które nie znajdowały się w trudnej sytuacji (w rozumieniu ogólnego rozporządzenia w sprawie </w:t>
      </w:r>
      <w:proofErr w:type="spellStart"/>
      <w:r>
        <w:rPr>
          <w:rFonts w:ascii="Times New Roman" w:eastAsia="Times New Roman" w:hAnsi="Times New Roman"/>
          <w:i/>
          <w:sz w:val="22"/>
        </w:rPr>
        <w:t>w</w:t>
      </w:r>
      <w:r w:rsidR="004B44EC">
        <w:rPr>
          <w:rFonts w:ascii="Times New Roman" w:eastAsia="Times New Roman" w:hAnsi="Times New Roman"/>
          <w:i/>
          <w:sz w:val="22"/>
        </w:rPr>
        <w:t>yłączeń</w:t>
      </w:r>
      <w:proofErr w:type="spellEnd"/>
      <w:r w:rsidR="004B44EC">
        <w:rPr>
          <w:rFonts w:ascii="Times New Roman" w:eastAsia="Times New Roman" w:hAnsi="Times New Roman"/>
          <w:i/>
          <w:sz w:val="22"/>
        </w:rPr>
        <w:t xml:space="preserve"> grupowych (15))</w:t>
      </w:r>
      <w:r>
        <w:rPr>
          <w:rFonts w:ascii="Times New Roman" w:eastAsia="Times New Roman" w:hAnsi="Times New Roman"/>
          <w:i/>
          <w:sz w:val="22"/>
        </w:rPr>
        <w:t xml:space="preserve"> w dniu 31 grudnia 2019 r.; może być ona przyznana przedsiębiorstwom, które nie znajdują się w trudnej sytuacji lub przedsiębiorstwom, które nie znajdowały się w trudnej sytuacji  w dniu 31 grudnia 2019 r., ale które później napotkały trudności lub znalazły się w trudnej sytuacji z powodu epidemii COVID-19.</w:t>
      </w: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4B44EC" w:rsidRDefault="004B44EC" w:rsidP="004B44EC">
      <w:pPr>
        <w:tabs>
          <w:tab w:val="left" w:pos="709"/>
        </w:tabs>
        <w:spacing w:after="120" w:line="247" w:lineRule="auto"/>
        <w:ind w:left="709" w:right="23"/>
        <w:jc w:val="both"/>
        <w:rPr>
          <w:rFonts w:ascii="Times New Roman" w:eastAsia="Times New Roman" w:hAnsi="Times New Roman"/>
          <w:i/>
          <w:sz w:val="22"/>
        </w:rPr>
      </w:pPr>
    </w:p>
    <w:p w:rsidR="00D61183" w:rsidRDefault="00D61183" w:rsidP="00D61183">
      <w:pPr>
        <w:spacing w:line="82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271" w:lineRule="auto"/>
        <w:ind w:left="520" w:right="1160" w:firstLine="227"/>
        <w:rPr>
          <w:rFonts w:ascii="Times New Roman" w:eastAsia="Times New Roman" w:hAnsi="Times New Roman"/>
          <w:sz w:val="22"/>
        </w:rPr>
      </w:pPr>
    </w:p>
    <w:p w:rsidR="00D61183" w:rsidRDefault="00D61183" w:rsidP="00D61183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</w:t>
      </w:r>
    </w:p>
    <w:p w:rsidR="00D61183" w:rsidRDefault="00D61183" w:rsidP="00D61183">
      <w:pPr>
        <w:spacing w:line="116" w:lineRule="exact"/>
        <w:rPr>
          <w:rFonts w:ascii="Times New Roman" w:eastAsia="Times New Roman" w:hAnsi="Times New Roman"/>
        </w:rPr>
      </w:pPr>
    </w:p>
    <w:p w:rsidR="00D61183" w:rsidRDefault="00D61183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data i podpis podatnika z podaniem imienia i nazwiska </w:t>
      </w:r>
    </w:p>
    <w:p w:rsidR="00D61183" w:rsidRDefault="00D61183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oraz stanowiska lub podpis osoby upoważnionej</w:t>
      </w: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4B44EC" w:rsidRDefault="004B44EC" w:rsidP="00D61183">
      <w:pPr>
        <w:spacing w:line="275" w:lineRule="auto"/>
        <w:ind w:left="520" w:right="1300" w:firstLine="227"/>
        <w:rPr>
          <w:rFonts w:ascii="Times New Roman" w:eastAsia="Times New Roman" w:hAnsi="Times New Roman"/>
          <w:b/>
          <w:sz w:val="22"/>
        </w:rPr>
      </w:pPr>
    </w:p>
    <w:p w:rsidR="00D61183" w:rsidRDefault="00D61183" w:rsidP="00D61183">
      <w:pPr>
        <w:spacing w:line="46" w:lineRule="exact"/>
        <w:rPr>
          <w:rFonts w:ascii="Times New Roman" w:eastAsia="Times New Roman" w:hAnsi="Times New Roman"/>
        </w:rPr>
      </w:pPr>
    </w:p>
    <w:p w:rsidR="00D61183" w:rsidRPr="00E57CAC" w:rsidRDefault="00D61183" w:rsidP="00E57CAC">
      <w:pPr>
        <w:numPr>
          <w:ilvl w:val="0"/>
          <w:numId w:val="5"/>
        </w:numPr>
        <w:tabs>
          <w:tab w:val="left" w:pos="912"/>
        </w:tabs>
        <w:spacing w:line="257" w:lineRule="auto"/>
        <w:ind w:left="709" w:right="20"/>
        <w:jc w:val="both"/>
        <w:rPr>
          <w:rFonts w:ascii="Times New Roman" w:eastAsia="Times New Roman" w:hAnsi="Times New Roman"/>
          <w:sz w:val="18"/>
          <w:szCs w:val="18"/>
        </w:rPr>
      </w:pPr>
      <w:r w:rsidRPr="00E57CAC">
        <w:rPr>
          <w:rFonts w:ascii="Times New Roman" w:eastAsia="Times New Roman" w:hAnsi="Times New Roman"/>
          <w:i/>
          <w:sz w:val="18"/>
          <w:szCs w:val="18"/>
        </w:rPr>
        <w:t>Komunikat Komisji z dnia 20 marca 2020r. "Tymczasowe ramy środków pomocy państwa w celu wsparcia gospodarki w kontekście trwającej epidemii COVID-19" (2020/C 91 I/01) (Dz. Urz. UE C 91I z 20.03.2020, str. 1)</w:t>
      </w:r>
    </w:p>
    <w:p w:rsidR="00D61183" w:rsidRPr="00E57CAC" w:rsidRDefault="00D61183" w:rsidP="00E57CAC">
      <w:pPr>
        <w:spacing w:line="66" w:lineRule="exact"/>
        <w:ind w:left="709"/>
        <w:rPr>
          <w:rFonts w:ascii="Times New Roman" w:eastAsia="Times New Roman" w:hAnsi="Times New Roman"/>
          <w:sz w:val="18"/>
          <w:szCs w:val="18"/>
        </w:rPr>
      </w:pPr>
    </w:p>
    <w:p w:rsidR="00E16C60" w:rsidRPr="00E57CAC" w:rsidRDefault="00D61183" w:rsidP="00E57CAC">
      <w:pPr>
        <w:ind w:left="709"/>
        <w:rPr>
          <w:sz w:val="18"/>
          <w:szCs w:val="18"/>
        </w:rPr>
      </w:pPr>
      <w:r w:rsidRPr="00E57CAC">
        <w:rPr>
          <w:rFonts w:ascii="Times New Roman" w:eastAsia="Times New Roman" w:hAnsi="Times New Roman"/>
          <w:sz w:val="18"/>
          <w:szCs w:val="18"/>
        </w:rPr>
        <w:t>**</w:t>
      </w:r>
      <w:r w:rsidRPr="00E57CAC">
        <w:rPr>
          <w:rFonts w:ascii="Times New Roman" w:eastAsia="Times New Roman" w:hAnsi="Times New Roman"/>
          <w:i/>
          <w:sz w:val="18"/>
          <w:szCs w:val="18"/>
        </w:rPr>
        <w:t>Zgodnie z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definicją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w art. 2 pkt 18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rozporządzenia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Komisji (UE) nr 651/2014 z dnia 17 czerwca 2014 r.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uznającego niektóre rodzaje pomocy za zgodne z rynkiem wewnętrznym w zastosowaniu art. 107 i 108 Traktatu (Dz.U. L 187 z 26.6.2014, s. 1).</w:t>
      </w:r>
    </w:p>
    <w:sectPr w:rsidR="00E16C60" w:rsidRPr="00E57CAC" w:rsidSect="004B44EC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09CF92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6B68079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4E6AFB6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519B500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431BD7B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41E40985"/>
    <w:multiLevelType w:val="hybridMultilevel"/>
    <w:tmpl w:val="BD782D9C"/>
    <w:lvl w:ilvl="0" w:tplc="250A349A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76F5B"/>
    <w:multiLevelType w:val="hybridMultilevel"/>
    <w:tmpl w:val="6E10EBB8"/>
    <w:lvl w:ilvl="0" w:tplc="0A1E7BDE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C"/>
    <w:rsid w:val="00217B6C"/>
    <w:rsid w:val="00386C81"/>
    <w:rsid w:val="003F4F03"/>
    <w:rsid w:val="004B44EC"/>
    <w:rsid w:val="005A5ECB"/>
    <w:rsid w:val="0063345C"/>
    <w:rsid w:val="0066615E"/>
    <w:rsid w:val="00791B2A"/>
    <w:rsid w:val="00BE55C5"/>
    <w:rsid w:val="00D4589C"/>
    <w:rsid w:val="00D61183"/>
    <w:rsid w:val="00E16C60"/>
    <w:rsid w:val="00E17344"/>
    <w:rsid w:val="00E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1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Tkocz</dc:creator>
  <cp:lastModifiedBy>Mateusz Tkocz</cp:lastModifiedBy>
  <cp:revision>14</cp:revision>
  <cp:lastPrinted>2020-04-16T08:29:00Z</cp:lastPrinted>
  <dcterms:created xsi:type="dcterms:W3CDTF">2020-04-13T20:54:00Z</dcterms:created>
  <dcterms:modified xsi:type="dcterms:W3CDTF">2020-04-17T19:19:00Z</dcterms:modified>
</cp:coreProperties>
</file>